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 Pima Pistol Club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Board of Directors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March  Monthly Meeting Minutes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 March meeting of the Pima Pistol Club Board of Directors, Inc. is to be held April 9th, 2024, at 6:00 PM at Pima Pistol Club.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1. Call to Order by President -David Burton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2. Pledge of Allegiance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3. Roll Call of the Board to establish a quorum –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a. President – David Burton -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b. Vice President – Jeff Shi -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c. Secretary – Thomas Kenney -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d. Treasurer – Ken McKinley -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e. Board Member – Greg Guertin -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f. Board Member – Karl Hannestad  -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g. Board Member – Allan Panka -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h. Board Member – Chelsi Remme -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i. Board Member – Gary Szczepanski -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4. Approval of Minutes for preceding meetings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a. March BOD Meeting, 03/12/2024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5. Secretary’s Report. - Thomas Kenney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Member Report as of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i. Total Members –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ii. Regular Members –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iii. Associate Members –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iv. Current User Groups –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v. New Associate Members in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b. Acceptance of new members in March -List attached to Board Members Agenda.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6. Treasurer’s Report – Ken McKinley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All amounts are as of 1 April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Wells Fargo Checking Account - $16,250.23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Chase Checking - $33,511.42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Chase Savings - $5000.52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Chase CDs –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1) $100K with $751.47 accrued interest to date. Plan is to roll the CD over on 5Apr with the same terms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2) $100K with $549.63 accrued interest to date.  Plan is to assess current terms on 20Apr before proceeding</w:t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Total Balance - $251,062.75</w:t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Contracts: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Welding shed roof repair was awarded for $4,450.00 with work to begin 8 April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240" w:lineRule="auto"/>
        <w:ind w:left="720" w:hanging="360"/>
      </w:pPr>
      <w:r w:rsidDel="00000000" w:rsidR="00000000" w:rsidRPr="00000000">
        <w:rPr>
          <w:rtl w:val="0"/>
        </w:rPr>
        <w:t xml:space="preserve">Admin building exterior repair and painting was awarded for $4,090.00 with work to begin soon – weather dependent</w:t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7. Range Operation Report -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8. Vice-President’s Report – Jeff Shi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9. President’s Report – David Burton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10. Committee Reports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11. Old Business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12. New Business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13. Member Input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  <w:t xml:space="preserve">April 9th, 2024               </w:t>
      <w:tab/>
      <w:tab/>
      <w:t xml:space="preserve">  Pima Pistol Club, Inc., Board of Directors Meeting Agenda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